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3B50A" w14:textId="77777777" w:rsidR="00C774BD" w:rsidRDefault="00C774BD" w:rsidP="00F42015">
      <w:pPr>
        <w:pStyle w:val="Title"/>
        <w:rPr>
          <w:rFonts w:ascii="Cambria" w:eastAsia="Times New Roman" w:hAnsi="Cambria"/>
          <w:sz w:val="40"/>
          <w:lang w:val="en"/>
        </w:rPr>
      </w:pPr>
    </w:p>
    <w:p w14:paraId="10D4B152" w14:textId="77777777" w:rsidR="00F42015" w:rsidRPr="0099297B" w:rsidRDefault="00F42015" w:rsidP="00F42015">
      <w:pPr>
        <w:pStyle w:val="Title"/>
        <w:rPr>
          <w:rFonts w:ascii="Cambria" w:eastAsia="Times New Roman" w:hAnsi="Cambria"/>
          <w:sz w:val="40"/>
          <w:lang w:val="en"/>
        </w:rPr>
      </w:pPr>
      <w:r w:rsidRPr="0099297B">
        <w:rPr>
          <w:rFonts w:ascii="Cambria" w:eastAsia="Times New Roman" w:hAnsi="Cambria"/>
          <w:sz w:val="40"/>
          <w:lang w:val="en"/>
        </w:rPr>
        <w:t>Communication Tips</w:t>
      </w:r>
    </w:p>
    <w:p w14:paraId="10D4B153" w14:textId="77777777" w:rsidR="00F42015" w:rsidRDefault="00F42015" w:rsidP="00F42015">
      <w:pPr>
        <w:rPr>
          <w:lang w:val="en"/>
        </w:rPr>
      </w:pPr>
      <w:r>
        <w:rPr>
          <w:lang w:val="en"/>
        </w:rPr>
        <w:t>People who are deaf or hard of hearing communicate in many ways. Some read lips and use speech while others use sign language. Others may choose to write or use a combination of these methods.</w:t>
      </w:r>
    </w:p>
    <w:p w14:paraId="10D4B154" w14:textId="77777777" w:rsidR="00F42015" w:rsidRDefault="00F42015" w:rsidP="00F42015">
      <w:pPr>
        <w:rPr>
          <w:lang w:val="en"/>
        </w:rPr>
      </w:pPr>
      <w:r>
        <w:rPr>
          <w:lang w:val="en"/>
        </w:rPr>
        <w:t xml:space="preserve">Many individuals with </w:t>
      </w:r>
      <w:proofErr w:type="gramStart"/>
      <w:r>
        <w:rPr>
          <w:lang w:val="en"/>
        </w:rPr>
        <w:t>a hearing</w:t>
      </w:r>
      <w:proofErr w:type="gramEnd"/>
      <w:r>
        <w:rPr>
          <w:lang w:val="en"/>
        </w:rPr>
        <w:t xml:space="preserve"> loss may feel left out of social situations. Ask the person who is deaf or hard of hearing what you can do to help improve the communication process. Also ask them if an assistive listening device would be helpful.</w:t>
      </w:r>
    </w:p>
    <w:p w14:paraId="10D4B155" w14:textId="77777777" w:rsidR="00F42015" w:rsidRDefault="00F42015" w:rsidP="00F42015">
      <w:pPr>
        <w:rPr>
          <w:lang w:val="en"/>
        </w:rPr>
      </w:pPr>
      <w:r>
        <w:rPr>
          <w:lang w:val="en"/>
        </w:rPr>
        <w:t xml:space="preserve">When communicating critical or complex information, use the preferred accommodation of the person with hearing loss. </w:t>
      </w:r>
    </w:p>
    <w:p w14:paraId="10D4B156" w14:textId="77777777" w:rsidR="00F42015" w:rsidRPr="0099297B" w:rsidRDefault="00F42015" w:rsidP="00F42015">
      <w:pPr>
        <w:pStyle w:val="Heading1"/>
        <w:rPr>
          <w:rFonts w:ascii="Cambria" w:hAnsi="Cambria"/>
          <w:sz w:val="28"/>
          <w:lang w:val="en"/>
        </w:rPr>
      </w:pPr>
      <w:r w:rsidRPr="0099297B">
        <w:rPr>
          <w:rFonts w:ascii="Cambria" w:hAnsi="Cambria"/>
          <w:sz w:val="28"/>
          <w:lang w:val="en"/>
        </w:rPr>
        <w:t>Guidelines for effective face-to-face communication:</w:t>
      </w:r>
    </w:p>
    <w:p w14:paraId="10D4B157" w14:textId="77777777" w:rsidR="00F42015" w:rsidRPr="00DF5AB7" w:rsidRDefault="00F42015" w:rsidP="00F42015">
      <w:pPr>
        <w:pStyle w:val="ListParagraph"/>
        <w:numPr>
          <w:ilvl w:val="0"/>
          <w:numId w:val="1"/>
        </w:numPr>
        <w:rPr>
          <w:lang w:val="en"/>
        </w:rPr>
      </w:pPr>
      <w:r w:rsidRPr="00DF5AB7">
        <w:rPr>
          <w:lang w:val="en"/>
        </w:rPr>
        <w:t>Communicate in a well-lit and quiet environment with few sight and sound distractions.</w:t>
      </w:r>
    </w:p>
    <w:p w14:paraId="10D4B158" w14:textId="77777777" w:rsidR="00F42015" w:rsidRPr="00DF5AB7" w:rsidRDefault="00F42015" w:rsidP="00F42015">
      <w:pPr>
        <w:pStyle w:val="ListParagraph"/>
        <w:numPr>
          <w:ilvl w:val="0"/>
          <w:numId w:val="1"/>
        </w:numPr>
        <w:rPr>
          <w:lang w:val="en"/>
        </w:rPr>
      </w:pPr>
      <w:r w:rsidRPr="00DF5AB7">
        <w:rPr>
          <w:lang w:val="en"/>
        </w:rPr>
        <w:t>Get the person’s attention to begin the conversation. Call him or her by name, tap his or her shoulder, flash the lights on and off, wave your hand or use other visual signals.</w:t>
      </w:r>
    </w:p>
    <w:p w14:paraId="10D4B159" w14:textId="77777777" w:rsidR="00F42015" w:rsidRPr="00DF5AB7" w:rsidRDefault="00F42015" w:rsidP="00F42015">
      <w:pPr>
        <w:pStyle w:val="ListParagraph"/>
        <w:numPr>
          <w:ilvl w:val="0"/>
          <w:numId w:val="1"/>
        </w:numPr>
        <w:rPr>
          <w:lang w:val="en"/>
        </w:rPr>
      </w:pPr>
      <w:r w:rsidRPr="00DF5AB7">
        <w:rPr>
          <w:lang w:val="en"/>
        </w:rPr>
        <w:t xml:space="preserve">Maintain eye contact. If you </w:t>
      </w:r>
      <w:proofErr w:type="gramStart"/>
      <w:r w:rsidRPr="00DF5AB7">
        <w:rPr>
          <w:lang w:val="en"/>
        </w:rPr>
        <w:t>have to</w:t>
      </w:r>
      <w:proofErr w:type="gramEnd"/>
      <w:r w:rsidRPr="00DF5AB7">
        <w:rPr>
          <w:lang w:val="en"/>
        </w:rPr>
        <w:t xml:space="preserve"> turn away from the person, wait until you reestablish eye contact before continuing the conversation.</w:t>
      </w:r>
    </w:p>
    <w:p w14:paraId="10D4B15A" w14:textId="77777777" w:rsidR="00F42015" w:rsidRPr="00DF5AB7" w:rsidRDefault="00F42015" w:rsidP="00F42015">
      <w:pPr>
        <w:pStyle w:val="ListParagraph"/>
        <w:numPr>
          <w:ilvl w:val="0"/>
          <w:numId w:val="1"/>
        </w:numPr>
        <w:rPr>
          <w:lang w:val="en"/>
        </w:rPr>
      </w:pPr>
      <w:r w:rsidRPr="00DF5AB7">
        <w:rPr>
          <w:lang w:val="en"/>
        </w:rPr>
        <w:t>Avoid standing in front of bright lights or windows.</w:t>
      </w:r>
    </w:p>
    <w:p w14:paraId="10D4B15B" w14:textId="77777777" w:rsidR="00F42015" w:rsidRPr="00DF5AB7" w:rsidRDefault="00F42015" w:rsidP="00F42015">
      <w:pPr>
        <w:pStyle w:val="ListParagraph"/>
        <w:numPr>
          <w:ilvl w:val="0"/>
          <w:numId w:val="1"/>
        </w:numPr>
        <w:rPr>
          <w:lang w:val="en"/>
        </w:rPr>
      </w:pPr>
      <w:r w:rsidRPr="00DF5AB7">
        <w:rPr>
          <w:lang w:val="en"/>
        </w:rPr>
        <w:t>Make sure your face and mouth are clearly visible. Do not eat, smoke, chew gum or in any way cover your mouth.</w:t>
      </w:r>
    </w:p>
    <w:p w14:paraId="10D4B15C" w14:textId="77777777" w:rsidR="00F42015" w:rsidRPr="00DF5AB7" w:rsidRDefault="00F42015" w:rsidP="00F42015">
      <w:pPr>
        <w:pStyle w:val="ListParagraph"/>
        <w:numPr>
          <w:ilvl w:val="0"/>
          <w:numId w:val="1"/>
        </w:numPr>
        <w:rPr>
          <w:lang w:val="en"/>
        </w:rPr>
      </w:pPr>
      <w:r w:rsidRPr="00DF5AB7">
        <w:rPr>
          <w:lang w:val="en"/>
        </w:rPr>
        <w:t>Speak clearly at a normal pace and avoid unusual lip movements or shouting.</w:t>
      </w:r>
    </w:p>
    <w:p w14:paraId="10D4B15D" w14:textId="77777777" w:rsidR="00F42015" w:rsidRPr="00DF5AB7" w:rsidRDefault="00F42015" w:rsidP="00F42015">
      <w:pPr>
        <w:pStyle w:val="ListParagraph"/>
        <w:numPr>
          <w:ilvl w:val="0"/>
          <w:numId w:val="1"/>
        </w:numPr>
        <w:rPr>
          <w:lang w:val="en"/>
        </w:rPr>
      </w:pPr>
      <w:r w:rsidRPr="00DF5AB7">
        <w:rPr>
          <w:lang w:val="en"/>
        </w:rPr>
        <w:t>Use facial expressions and gestures to help clarify your message. Pointing to appropriate objects or using visual aids can also be helpful.</w:t>
      </w:r>
    </w:p>
    <w:p w14:paraId="10D4B15E" w14:textId="77777777" w:rsidR="00F42015" w:rsidRPr="00DF5AB7" w:rsidRDefault="00F42015" w:rsidP="00F42015">
      <w:pPr>
        <w:pStyle w:val="ListParagraph"/>
        <w:numPr>
          <w:ilvl w:val="0"/>
          <w:numId w:val="1"/>
        </w:numPr>
        <w:rPr>
          <w:lang w:val="en"/>
        </w:rPr>
      </w:pPr>
      <w:r w:rsidRPr="00DF5AB7">
        <w:rPr>
          <w:lang w:val="en"/>
        </w:rPr>
        <w:t>Introduce one idea or fact at a time.</w:t>
      </w:r>
    </w:p>
    <w:p w14:paraId="10D4B15F" w14:textId="77777777" w:rsidR="00F42015" w:rsidRPr="00DF5AB7" w:rsidRDefault="00F42015" w:rsidP="00F42015">
      <w:pPr>
        <w:pStyle w:val="ListParagraph"/>
        <w:numPr>
          <w:ilvl w:val="0"/>
          <w:numId w:val="1"/>
        </w:numPr>
        <w:rPr>
          <w:lang w:val="en"/>
        </w:rPr>
      </w:pPr>
      <w:r w:rsidRPr="00DF5AB7">
        <w:rPr>
          <w:lang w:val="en"/>
        </w:rPr>
        <w:t>Only one person should talk at a time in a group situation.</w:t>
      </w:r>
    </w:p>
    <w:p w14:paraId="10D4B160" w14:textId="77777777" w:rsidR="00F42015" w:rsidRPr="00DF5AB7" w:rsidRDefault="00F42015" w:rsidP="00F42015">
      <w:pPr>
        <w:pStyle w:val="ListParagraph"/>
        <w:numPr>
          <w:ilvl w:val="0"/>
          <w:numId w:val="1"/>
        </w:numPr>
        <w:rPr>
          <w:lang w:val="en"/>
        </w:rPr>
      </w:pPr>
      <w:r w:rsidRPr="00DF5AB7">
        <w:rPr>
          <w:lang w:val="en"/>
        </w:rPr>
        <w:t>Rephrase your message if the person does not understand you.</w:t>
      </w:r>
    </w:p>
    <w:p w14:paraId="10D4B161" w14:textId="77777777" w:rsidR="00F42015" w:rsidRPr="00DF5AB7" w:rsidRDefault="00F42015" w:rsidP="00F42015">
      <w:pPr>
        <w:pStyle w:val="ListParagraph"/>
        <w:numPr>
          <w:ilvl w:val="0"/>
          <w:numId w:val="1"/>
        </w:numPr>
        <w:rPr>
          <w:lang w:val="en"/>
        </w:rPr>
      </w:pPr>
      <w:r w:rsidRPr="00DF5AB7">
        <w:rPr>
          <w:lang w:val="en"/>
        </w:rPr>
        <w:t xml:space="preserve">Do not assume the person can hear and understand what you are saying just because he or she is wearing a hearing aid. The hearing aid may be worn to increase awareness of sounds like fire </w:t>
      </w:r>
      <w:proofErr w:type="gramStart"/>
      <w:r w:rsidRPr="00DF5AB7">
        <w:rPr>
          <w:lang w:val="en"/>
        </w:rPr>
        <w:t>alarms</w:t>
      </w:r>
      <w:proofErr w:type="gramEnd"/>
      <w:r w:rsidRPr="00DF5AB7">
        <w:rPr>
          <w:lang w:val="en"/>
        </w:rPr>
        <w:t xml:space="preserve"> or </w:t>
      </w:r>
      <w:proofErr w:type="gramStart"/>
      <w:r w:rsidRPr="00DF5AB7">
        <w:rPr>
          <w:lang w:val="en"/>
        </w:rPr>
        <w:t>a car</w:t>
      </w:r>
      <w:proofErr w:type="gramEnd"/>
      <w:r w:rsidRPr="00DF5AB7">
        <w:rPr>
          <w:lang w:val="en"/>
        </w:rPr>
        <w:t xml:space="preserve"> horns.</w:t>
      </w:r>
    </w:p>
    <w:p w14:paraId="10D4B162" w14:textId="77777777" w:rsidR="00F42015" w:rsidRDefault="00F42015" w:rsidP="00F42015">
      <w:pPr>
        <w:pStyle w:val="Heading1"/>
        <w:jc w:val="center"/>
        <w:rPr>
          <w:sz w:val="36"/>
        </w:rPr>
      </w:pPr>
      <w:r>
        <w:rPr>
          <w:sz w:val="36"/>
        </w:rPr>
        <w:t>Contact us:</w:t>
      </w:r>
    </w:p>
    <w:p w14:paraId="10D4B163" w14:textId="0CF5F13C" w:rsidR="00F42015" w:rsidRDefault="00000000" w:rsidP="00F42015">
      <w:pPr>
        <w:keepLines/>
        <w:widowControl w:val="0"/>
        <w:jc w:val="center"/>
        <w:rPr>
          <w:szCs w:val="24"/>
        </w:rPr>
      </w:pPr>
      <w:hyperlink r:id="rId10" w:history="1">
        <w:r w:rsidR="00F42015" w:rsidRPr="00F42015">
          <w:rPr>
            <w:rStyle w:val="Hyperlink"/>
          </w:rPr>
          <w:t>Visit Deaf and Hard of Hearing Services’ website</w:t>
        </w:r>
      </w:hyperlink>
      <w:r w:rsidR="00F42015">
        <w:t xml:space="preserve"> </w:t>
      </w:r>
      <w:r w:rsidR="00F42015">
        <w:rPr>
          <w:szCs w:val="24"/>
        </w:rPr>
        <w:t>(</w:t>
      </w:r>
      <w:r w:rsidR="00F42015" w:rsidRPr="00F42015">
        <w:rPr>
          <w:szCs w:val="24"/>
        </w:rPr>
        <w:t>mn.gov/deaf-hard-of-hearing/</w:t>
      </w:r>
      <w:r w:rsidR="00F42015">
        <w:rPr>
          <w:szCs w:val="24"/>
        </w:rPr>
        <w:t>)</w:t>
      </w:r>
    </w:p>
    <w:tbl>
      <w:tblPr>
        <w:tblStyle w:val="TableGrid"/>
        <w:tblW w:w="9540" w:type="dxa"/>
        <w:tblInd w:w="-90" w:type="dxa"/>
        <w:tblLook w:val="04A0" w:firstRow="1" w:lastRow="0" w:firstColumn="1" w:lastColumn="0" w:noHBand="0" w:noVBand="1"/>
        <w:tblCaption w:val="Office Phone Numbers"/>
      </w:tblPr>
      <w:tblGrid>
        <w:gridCol w:w="1908"/>
        <w:gridCol w:w="1908"/>
        <w:gridCol w:w="1908"/>
        <w:gridCol w:w="1908"/>
        <w:gridCol w:w="1908"/>
      </w:tblGrid>
      <w:tr w:rsidR="00F42015" w14:paraId="10D4B169" w14:textId="77777777" w:rsidTr="00551734">
        <w:trPr>
          <w:trHeight w:val="288"/>
          <w:tblHeader/>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4B164" w14:textId="77777777" w:rsidR="00F42015" w:rsidRDefault="00F42015" w:rsidP="00551734">
            <w:pPr>
              <w:pStyle w:val="NoSpacing"/>
              <w:keepLines/>
              <w:widowControl w:val="0"/>
              <w:jc w:val="center"/>
              <w:rPr>
                <w:b/>
                <w:szCs w:val="24"/>
              </w:rPr>
            </w:pPr>
            <w:r>
              <w:rPr>
                <w:b/>
                <w:szCs w:val="24"/>
              </w:rPr>
              <w:t>St. Paul</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4B165" w14:textId="77777777" w:rsidR="00F42015" w:rsidRDefault="00F42015" w:rsidP="00551734">
            <w:pPr>
              <w:pStyle w:val="NoSpacing"/>
              <w:keepLines/>
              <w:widowControl w:val="0"/>
              <w:jc w:val="center"/>
              <w:rPr>
                <w:b/>
                <w:szCs w:val="24"/>
              </w:rPr>
            </w:pPr>
            <w:r>
              <w:rPr>
                <w:b/>
                <w:szCs w:val="24"/>
              </w:rPr>
              <w:t>Mankato</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4B166" w14:textId="77777777" w:rsidR="00F42015" w:rsidRDefault="00F42015" w:rsidP="00551734">
            <w:pPr>
              <w:pStyle w:val="NoSpacing"/>
              <w:keepLines/>
              <w:widowControl w:val="0"/>
              <w:jc w:val="center"/>
              <w:rPr>
                <w:b/>
                <w:szCs w:val="24"/>
              </w:rPr>
            </w:pPr>
            <w:r>
              <w:rPr>
                <w:b/>
                <w:szCs w:val="24"/>
              </w:rPr>
              <w:t>Duluth</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4B167" w14:textId="77777777" w:rsidR="00F42015" w:rsidRDefault="00F42015" w:rsidP="00551734">
            <w:pPr>
              <w:pStyle w:val="NoSpacing"/>
              <w:keepLines/>
              <w:widowControl w:val="0"/>
              <w:jc w:val="center"/>
              <w:rPr>
                <w:b/>
                <w:szCs w:val="24"/>
              </w:rPr>
            </w:pPr>
            <w:r>
              <w:rPr>
                <w:b/>
                <w:szCs w:val="24"/>
              </w:rPr>
              <w:t>Moorhead</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4B168" w14:textId="77777777" w:rsidR="00F42015" w:rsidRDefault="00F42015" w:rsidP="00551734">
            <w:pPr>
              <w:pStyle w:val="NoSpacing"/>
              <w:keepLines/>
              <w:widowControl w:val="0"/>
              <w:jc w:val="center"/>
              <w:rPr>
                <w:b/>
                <w:szCs w:val="24"/>
              </w:rPr>
            </w:pPr>
            <w:r>
              <w:rPr>
                <w:b/>
                <w:szCs w:val="24"/>
              </w:rPr>
              <w:t>St. Cloud</w:t>
            </w:r>
          </w:p>
        </w:tc>
      </w:tr>
      <w:tr w:rsidR="00F42015" w14:paraId="10D4B16F" w14:textId="77777777" w:rsidTr="00551734">
        <w:trPr>
          <w:trHeight w:val="432"/>
          <w:tblHeader/>
        </w:trPr>
        <w:tc>
          <w:tcPr>
            <w:tcW w:w="1908" w:type="dxa"/>
            <w:tcBorders>
              <w:top w:val="single" w:sz="4" w:space="0" w:color="auto"/>
              <w:left w:val="single" w:sz="4" w:space="0" w:color="auto"/>
              <w:bottom w:val="single" w:sz="4" w:space="0" w:color="auto"/>
              <w:right w:val="single" w:sz="4" w:space="0" w:color="auto"/>
            </w:tcBorders>
            <w:vAlign w:val="center"/>
            <w:hideMark/>
          </w:tcPr>
          <w:p w14:paraId="10D4B16A" w14:textId="77777777" w:rsidR="00F42015" w:rsidRDefault="00F42015" w:rsidP="00551734">
            <w:pPr>
              <w:pStyle w:val="NoSpacing"/>
              <w:keepLines/>
              <w:widowControl w:val="0"/>
              <w:jc w:val="center"/>
              <w:rPr>
                <w:szCs w:val="24"/>
              </w:rPr>
            </w:pPr>
            <w:r>
              <w:rPr>
                <w:szCs w:val="24"/>
              </w:rPr>
              <w:t>(651) 431-5940</w:t>
            </w:r>
          </w:p>
        </w:tc>
        <w:tc>
          <w:tcPr>
            <w:tcW w:w="1908" w:type="dxa"/>
            <w:tcBorders>
              <w:top w:val="single" w:sz="4" w:space="0" w:color="auto"/>
              <w:left w:val="single" w:sz="4" w:space="0" w:color="auto"/>
              <w:bottom w:val="single" w:sz="4" w:space="0" w:color="auto"/>
              <w:right w:val="single" w:sz="4" w:space="0" w:color="auto"/>
            </w:tcBorders>
            <w:vAlign w:val="center"/>
            <w:hideMark/>
          </w:tcPr>
          <w:p w14:paraId="10D4B16B" w14:textId="77777777" w:rsidR="00F42015" w:rsidRDefault="00F42015" w:rsidP="00551734">
            <w:pPr>
              <w:pStyle w:val="NoSpacing"/>
              <w:keepLines/>
              <w:widowControl w:val="0"/>
              <w:jc w:val="center"/>
              <w:rPr>
                <w:szCs w:val="24"/>
              </w:rPr>
            </w:pPr>
            <w:r>
              <w:rPr>
                <w:szCs w:val="24"/>
              </w:rPr>
              <w:t>(800) 311-1148</w:t>
            </w:r>
          </w:p>
        </w:tc>
        <w:tc>
          <w:tcPr>
            <w:tcW w:w="1908" w:type="dxa"/>
            <w:tcBorders>
              <w:top w:val="single" w:sz="4" w:space="0" w:color="auto"/>
              <w:left w:val="single" w:sz="4" w:space="0" w:color="auto"/>
              <w:bottom w:val="single" w:sz="4" w:space="0" w:color="auto"/>
              <w:right w:val="single" w:sz="4" w:space="0" w:color="auto"/>
            </w:tcBorders>
            <w:vAlign w:val="center"/>
            <w:hideMark/>
          </w:tcPr>
          <w:p w14:paraId="10D4B16C" w14:textId="77777777" w:rsidR="00F42015" w:rsidRDefault="00F42015" w:rsidP="00551734">
            <w:pPr>
              <w:pStyle w:val="NoSpacing"/>
              <w:keepLines/>
              <w:widowControl w:val="0"/>
              <w:jc w:val="center"/>
              <w:rPr>
                <w:szCs w:val="24"/>
              </w:rPr>
            </w:pPr>
            <w:r>
              <w:rPr>
                <w:szCs w:val="24"/>
              </w:rPr>
              <w:t>(888) 234-1322</w:t>
            </w:r>
          </w:p>
        </w:tc>
        <w:tc>
          <w:tcPr>
            <w:tcW w:w="1908" w:type="dxa"/>
            <w:tcBorders>
              <w:top w:val="single" w:sz="4" w:space="0" w:color="auto"/>
              <w:left w:val="single" w:sz="4" w:space="0" w:color="auto"/>
              <w:bottom w:val="single" w:sz="4" w:space="0" w:color="auto"/>
              <w:right w:val="single" w:sz="4" w:space="0" w:color="auto"/>
            </w:tcBorders>
            <w:vAlign w:val="center"/>
            <w:hideMark/>
          </w:tcPr>
          <w:p w14:paraId="10D4B16D" w14:textId="77777777" w:rsidR="00F42015" w:rsidRDefault="00F42015" w:rsidP="00551734">
            <w:pPr>
              <w:pStyle w:val="NoSpacing"/>
              <w:keepLines/>
              <w:widowControl w:val="0"/>
              <w:jc w:val="center"/>
              <w:rPr>
                <w:szCs w:val="24"/>
              </w:rPr>
            </w:pPr>
            <w:r>
              <w:rPr>
                <w:szCs w:val="24"/>
              </w:rPr>
              <w:t>(800) 456-7589</w:t>
            </w:r>
          </w:p>
        </w:tc>
        <w:tc>
          <w:tcPr>
            <w:tcW w:w="1908" w:type="dxa"/>
            <w:tcBorders>
              <w:top w:val="single" w:sz="4" w:space="0" w:color="auto"/>
              <w:left w:val="single" w:sz="4" w:space="0" w:color="auto"/>
              <w:bottom w:val="single" w:sz="4" w:space="0" w:color="auto"/>
              <w:right w:val="single" w:sz="4" w:space="0" w:color="auto"/>
            </w:tcBorders>
            <w:vAlign w:val="center"/>
            <w:hideMark/>
          </w:tcPr>
          <w:p w14:paraId="10D4B16E" w14:textId="77777777" w:rsidR="00F42015" w:rsidRDefault="00F42015" w:rsidP="00551734">
            <w:pPr>
              <w:pStyle w:val="NoSpacing"/>
              <w:keepLines/>
              <w:widowControl w:val="0"/>
              <w:jc w:val="center"/>
              <w:rPr>
                <w:szCs w:val="24"/>
              </w:rPr>
            </w:pPr>
            <w:r>
              <w:rPr>
                <w:szCs w:val="24"/>
              </w:rPr>
              <w:t>(800) 456-3690</w:t>
            </w:r>
          </w:p>
        </w:tc>
      </w:tr>
    </w:tbl>
    <w:p w14:paraId="10D4B170" w14:textId="77777777" w:rsidR="00F42015" w:rsidRPr="00470A79" w:rsidRDefault="00F42015" w:rsidP="00F42015">
      <w:pPr>
        <w:spacing w:before="60" w:after="0"/>
        <w:jc w:val="center"/>
        <w:rPr>
          <w:i/>
          <w:szCs w:val="24"/>
        </w:rPr>
      </w:pPr>
      <w:r>
        <w:rPr>
          <w:i/>
          <w:szCs w:val="24"/>
        </w:rPr>
        <w:t>Consumers with hearing or speech disabilities may contact us via their preferred Telecommunications Relay Service.</w:t>
      </w:r>
    </w:p>
    <w:p w14:paraId="10D4B171" w14:textId="77777777" w:rsidR="000F6257" w:rsidRDefault="000F6257"/>
    <w:sectPr w:rsidR="000F6257" w:rsidSect="00A25758">
      <w:headerReference w:type="default" r:id="rId11"/>
      <w:pgSz w:w="12240" w:h="15840"/>
      <w:pgMar w:top="720" w:right="720" w:bottom="720" w:left="720" w:header="14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2D8EE" w14:textId="77777777" w:rsidR="00454E26" w:rsidRDefault="00454E26" w:rsidP="00F42015">
      <w:pPr>
        <w:spacing w:after="0"/>
      </w:pPr>
      <w:r>
        <w:separator/>
      </w:r>
    </w:p>
  </w:endnote>
  <w:endnote w:type="continuationSeparator" w:id="0">
    <w:p w14:paraId="15E8CBC9" w14:textId="77777777" w:rsidR="00454E26" w:rsidRDefault="00454E26" w:rsidP="00F42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31049" w14:textId="77777777" w:rsidR="00454E26" w:rsidRDefault="00454E26" w:rsidP="00F42015">
      <w:pPr>
        <w:spacing w:after="0"/>
      </w:pPr>
      <w:r>
        <w:separator/>
      </w:r>
    </w:p>
  </w:footnote>
  <w:footnote w:type="continuationSeparator" w:id="0">
    <w:p w14:paraId="7BC9A703" w14:textId="77777777" w:rsidR="00454E26" w:rsidRDefault="00454E26" w:rsidP="00F420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1453" w14:textId="77777777" w:rsidR="00C774BD" w:rsidRDefault="00C774BD">
    <w:pPr>
      <w:pStyle w:val="Header"/>
    </w:pPr>
  </w:p>
  <w:p w14:paraId="08A283A8" w14:textId="77777777" w:rsidR="00C774BD" w:rsidRDefault="00C774BD">
    <w:pPr>
      <w:pStyle w:val="Header"/>
    </w:pPr>
  </w:p>
  <w:p w14:paraId="10D4B178" w14:textId="42B1A206" w:rsidR="00F42015" w:rsidRDefault="001C2D31">
    <w:pPr>
      <w:pStyle w:val="Header"/>
    </w:pPr>
    <w:r>
      <w:rPr>
        <w:noProof/>
      </w:rPr>
      <w:drawing>
        <wp:inline distT="0" distB="0" distL="0" distR="0" wp14:anchorId="30DEB117" wp14:editId="60A72A71">
          <wp:extent cx="3238500" cy="609600"/>
          <wp:effectExtent l="0" t="0" r="0" b="0"/>
          <wp:docPr id="1" name="Picture 1" descr="Department of Human Services, Deaf and Hard of Hearing Services" title="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 Logo- New.JPG"/>
                  <pic:cNvPicPr/>
                </pic:nvPicPr>
                <pic:blipFill>
                  <a:blip r:embed="rId1">
                    <a:extLst>
                      <a:ext uri="{28A0092B-C50C-407E-A947-70E740481C1C}">
                        <a14:useLocalDpi xmlns:a14="http://schemas.microsoft.com/office/drawing/2010/main" val="0"/>
                      </a:ext>
                    </a:extLst>
                  </a:blip>
                  <a:stretch>
                    <a:fillRect/>
                  </a:stretch>
                </pic:blipFill>
                <pic:spPr>
                  <a:xfrm>
                    <a:off x="0" y="0"/>
                    <a:ext cx="32385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E63E6"/>
    <w:multiLevelType w:val="hybridMultilevel"/>
    <w:tmpl w:val="909A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47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15"/>
    <w:rsid w:val="00044170"/>
    <w:rsid w:val="000F6257"/>
    <w:rsid w:val="001C2D31"/>
    <w:rsid w:val="002A1555"/>
    <w:rsid w:val="00454E26"/>
    <w:rsid w:val="00844BD0"/>
    <w:rsid w:val="00872CC6"/>
    <w:rsid w:val="00945C7A"/>
    <w:rsid w:val="0099297B"/>
    <w:rsid w:val="00A25758"/>
    <w:rsid w:val="00C774BD"/>
    <w:rsid w:val="00F4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4B152"/>
  <w15:chartTrackingRefBased/>
  <w15:docId w15:val="{247DFE69-3270-4A76-B574-56E30A88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015"/>
    <w:pPr>
      <w:spacing w:after="120" w:line="240" w:lineRule="auto"/>
    </w:pPr>
    <w:rPr>
      <w:rFonts w:eastAsiaTheme="minorEastAsia"/>
      <w:sz w:val="24"/>
    </w:rPr>
  </w:style>
  <w:style w:type="paragraph" w:styleId="Heading1">
    <w:name w:val="heading 1"/>
    <w:basedOn w:val="Normal"/>
    <w:next w:val="Normal"/>
    <w:link w:val="Heading1Char"/>
    <w:uiPriority w:val="9"/>
    <w:qFormat/>
    <w:rsid w:val="00F42015"/>
    <w:pPr>
      <w:spacing w:before="240" w:after="0"/>
      <w:contextualSpacing/>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015"/>
    <w:pPr>
      <w:tabs>
        <w:tab w:val="center" w:pos="4680"/>
        <w:tab w:val="right" w:pos="9360"/>
      </w:tabs>
    </w:pPr>
  </w:style>
  <w:style w:type="character" w:customStyle="1" w:styleId="HeaderChar">
    <w:name w:val="Header Char"/>
    <w:basedOn w:val="DefaultParagraphFont"/>
    <w:link w:val="Header"/>
    <w:uiPriority w:val="99"/>
    <w:rsid w:val="00F42015"/>
  </w:style>
  <w:style w:type="paragraph" w:styleId="Footer">
    <w:name w:val="footer"/>
    <w:basedOn w:val="Normal"/>
    <w:link w:val="FooterChar"/>
    <w:uiPriority w:val="99"/>
    <w:unhideWhenUsed/>
    <w:rsid w:val="00F42015"/>
    <w:pPr>
      <w:tabs>
        <w:tab w:val="center" w:pos="4680"/>
        <w:tab w:val="right" w:pos="9360"/>
      </w:tabs>
    </w:pPr>
  </w:style>
  <w:style w:type="character" w:customStyle="1" w:styleId="FooterChar">
    <w:name w:val="Footer Char"/>
    <w:basedOn w:val="DefaultParagraphFont"/>
    <w:link w:val="Footer"/>
    <w:uiPriority w:val="99"/>
    <w:rsid w:val="00F42015"/>
  </w:style>
  <w:style w:type="character" w:customStyle="1" w:styleId="Heading1Char">
    <w:name w:val="Heading 1 Char"/>
    <w:basedOn w:val="DefaultParagraphFont"/>
    <w:link w:val="Heading1"/>
    <w:uiPriority w:val="9"/>
    <w:rsid w:val="00F42015"/>
    <w:rPr>
      <w:rFonts w:asciiTheme="majorHAnsi" w:eastAsiaTheme="majorEastAsia" w:hAnsiTheme="majorHAnsi" w:cstheme="majorBidi"/>
      <w:b/>
      <w:bCs/>
      <w:sz w:val="32"/>
      <w:szCs w:val="28"/>
    </w:rPr>
  </w:style>
  <w:style w:type="character" w:styleId="Hyperlink">
    <w:name w:val="Hyperlink"/>
    <w:basedOn w:val="DefaultParagraphFont"/>
    <w:uiPriority w:val="99"/>
    <w:unhideWhenUsed/>
    <w:rsid w:val="00F42015"/>
    <w:rPr>
      <w:color w:val="0000FF"/>
      <w:u w:val="single"/>
    </w:rPr>
  </w:style>
  <w:style w:type="paragraph" w:styleId="Title">
    <w:name w:val="Title"/>
    <w:basedOn w:val="Normal"/>
    <w:next w:val="Normal"/>
    <w:link w:val="TitleChar"/>
    <w:uiPriority w:val="10"/>
    <w:qFormat/>
    <w:rsid w:val="00F4201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2015"/>
    <w:rPr>
      <w:rFonts w:asciiTheme="majorHAnsi" w:eastAsiaTheme="majorEastAsia" w:hAnsiTheme="majorHAnsi" w:cstheme="majorBidi"/>
      <w:spacing w:val="5"/>
      <w:sz w:val="52"/>
      <w:szCs w:val="52"/>
    </w:rPr>
  </w:style>
  <w:style w:type="paragraph" w:styleId="NoSpacing">
    <w:name w:val="No Spacing"/>
    <w:basedOn w:val="Normal"/>
    <w:uiPriority w:val="1"/>
    <w:qFormat/>
    <w:rsid w:val="00F42015"/>
    <w:pPr>
      <w:spacing w:after="0"/>
    </w:pPr>
  </w:style>
  <w:style w:type="paragraph" w:styleId="ListParagraph">
    <w:name w:val="List Paragraph"/>
    <w:basedOn w:val="Normal"/>
    <w:uiPriority w:val="34"/>
    <w:qFormat/>
    <w:rsid w:val="00F42015"/>
    <w:pPr>
      <w:ind w:left="720"/>
    </w:pPr>
  </w:style>
  <w:style w:type="table" w:styleId="TableGrid">
    <w:name w:val="Table Grid"/>
    <w:basedOn w:val="TableNormal"/>
    <w:uiPriority w:val="59"/>
    <w:rsid w:val="00F4201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D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D3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n.gov/deaf-hard-of-hearin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b1791858-d801-4b7f-b39f-1bd4f9793d80">Web Fact Sheets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01DC4C9907947ADAC8EA75BF6F94E" ma:contentTypeVersion="5" ma:contentTypeDescription="Create a new document." ma:contentTypeScope="" ma:versionID="d21b00c5cbe7b699c1d2a46849956254">
  <xsd:schema xmlns:xsd="http://www.w3.org/2001/XMLSchema" xmlns:xs="http://www.w3.org/2001/XMLSchema" xmlns:p="http://schemas.microsoft.com/office/2006/metadata/properties" xmlns:ns2="b1791858-d801-4b7f-b39f-1bd4f9793d80" xmlns:ns3="http://schemas.microsoft.com/sharepoint/v4" targetNamespace="http://schemas.microsoft.com/office/2006/metadata/properties" ma:root="true" ma:fieldsID="f10ff654b64e50f490416dd05835c67a" ns2:_="" ns3:_="">
    <xsd:import namespace="b1791858-d801-4b7f-b39f-1bd4f9793d80"/>
    <xsd:import namespace="http://schemas.microsoft.com/sharepoint/v4"/>
    <xsd:element name="properties">
      <xsd:complexType>
        <xsd:sequence>
          <xsd:element name="documentManagement">
            <xsd:complexType>
              <xsd:all>
                <xsd:element ref="ns2:Category"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91858-d801-4b7f-b39f-1bd4f9793d80"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rochures"/>
          <xsd:enumeration value="Consumer Forms"/>
          <xsd:enumeration value="DHHSD Publications"/>
          <xsd:enumeration value="Emergency Preparedness"/>
          <xsd:enumeration value="Empowerment/Website Cards"/>
          <xsd:enumeration value="Flyers"/>
          <xsd:enumeration value="Info about DHHSD"/>
          <xsd:enumeration value="PowerPoint Presentations"/>
          <xsd:enumeration value="Presentation Evaluation"/>
          <xsd:enumeration value="Resource List: How-to"/>
          <xsd:enumeration value="Web Fact Shee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E4E44-1633-40EE-A302-152B5CCFA911}">
  <ds:schemaRefs>
    <ds:schemaRef ds:uri="http://schemas.microsoft.com/office/2006/metadata/properties"/>
    <ds:schemaRef ds:uri="http://schemas.microsoft.com/office/infopath/2007/PartnerControls"/>
    <ds:schemaRef ds:uri="http://schemas.microsoft.com/sharepoint/v4"/>
    <ds:schemaRef ds:uri="b1791858-d801-4b7f-b39f-1bd4f9793d80"/>
  </ds:schemaRefs>
</ds:datastoreItem>
</file>

<file path=customXml/itemProps2.xml><?xml version="1.0" encoding="utf-8"?>
<ds:datastoreItem xmlns:ds="http://schemas.openxmlformats.org/officeDocument/2006/customXml" ds:itemID="{10976F2E-1760-4C34-933E-2CFF54EFAADD}">
  <ds:schemaRefs>
    <ds:schemaRef ds:uri="http://schemas.microsoft.com/sharepoint/v3/contenttype/forms"/>
  </ds:schemaRefs>
</ds:datastoreItem>
</file>

<file path=customXml/itemProps3.xml><?xml version="1.0" encoding="utf-8"?>
<ds:datastoreItem xmlns:ds="http://schemas.openxmlformats.org/officeDocument/2006/customXml" ds:itemID="{97ECB5E2-EC83-42EC-B6C9-CB0273AC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91858-d801-4b7f-b39f-1bd4f9793d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Kristina M</dc:creator>
  <cp:keywords/>
  <dc:description/>
  <cp:lastModifiedBy>jack eastman</cp:lastModifiedBy>
  <cp:revision>6</cp:revision>
  <cp:lastPrinted>2018-04-06T21:18:00Z</cp:lastPrinted>
  <dcterms:created xsi:type="dcterms:W3CDTF">2017-03-28T12:27:00Z</dcterms:created>
  <dcterms:modified xsi:type="dcterms:W3CDTF">2024-07-08T21:02:00Z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0x01010084401DC4C9907947ADAC8EA75BF6F94E</vt:lpwstr>
  </property>
</Properties>
</file>